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3D332D76" w:rsidP="4571A77C" w:rsidRDefault="3D332D76" w14:paraId="25EA9F51" w14:textId="6A2B9D33">
      <w:pPr>
        <w:spacing w:before="240" w:beforeAutospacing="off" w:after="240" w:afterAutospacing="off"/>
        <w:jc w:val="center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</w:pPr>
      <w:r w:rsidRPr="4571A77C" w:rsidR="4571A77C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>New Services through the LCA Genome Core at Mission Bay</w:t>
      </w:r>
    </w:p>
    <w:p w:rsidR="3D332D76" w:rsidP="7F086E28" w:rsidRDefault="3D332D76" w14:paraId="738CA751" w14:textId="00FED710">
      <w:pPr>
        <w:pStyle w:val="ListParagraph"/>
        <w:numPr>
          <w:ilvl w:val="0"/>
          <w:numId w:val="5"/>
        </w:numPr>
        <w:spacing w:before="240" w:beforeAutospacing="off" w:after="240" w:afterAutospacing="off"/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2E74B5" w:themeColor="accent1" w:themeTint="FF" w:themeShade="BF"/>
          <w:sz w:val="24"/>
          <w:szCs w:val="24"/>
          <w:lang w:val="en-US"/>
        </w:rPr>
      </w:pPr>
      <w:r w:rsidRPr="7F086E28" w:rsidR="7F086E28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2E74B5" w:themeColor="accent1" w:themeTint="FF" w:themeShade="BF"/>
          <w:sz w:val="24"/>
          <w:szCs w:val="24"/>
          <w:lang w:val="en-US"/>
        </w:rPr>
        <w:t>Biomarker and Imaging Services</w:t>
      </w:r>
    </w:p>
    <w:p w:rsidR="38A1432F" w:rsidP="38A1432F" w:rsidRDefault="38A1432F" w14:paraId="2F080ABB" w14:textId="13E9DB5C">
      <w:pPr>
        <w:spacing w:before="240" w:beforeAutospacing="off" w:after="240" w:afterAutospacing="off"/>
        <w:ind w:firstLine="720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4571A77C" w:rsidR="4571A77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We are excited to announce that the </w:t>
      </w:r>
      <w:hyperlink r:id="R6f320be55a74468c">
        <w:r w:rsidRPr="4571A77C" w:rsidR="4571A77C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LCA genome core</w:t>
        </w:r>
      </w:hyperlink>
      <w:r w:rsidRPr="4571A77C" w:rsidR="4571A77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is now offering advanced </w:t>
      </w:r>
      <w:r>
        <w:tab/>
      </w:r>
      <w:r>
        <w:tab/>
      </w:r>
      <w:r w:rsidRPr="4571A77C" w:rsidR="4571A77C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>biomarker optimization services and imaging services</w:t>
      </w:r>
      <w:r w:rsidRPr="4571A77C" w:rsidR="4571A77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. Requests for these services can </w:t>
      </w:r>
      <w:r>
        <w:tab/>
      </w:r>
      <w:r w:rsidRPr="4571A77C" w:rsidR="4571A77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be submitted through iLab under the LCA Genome Core. For questions or quotes, feel </w:t>
      </w:r>
      <w:r>
        <w:tab/>
      </w:r>
      <w:r w:rsidRPr="4571A77C" w:rsidR="4571A77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free to contact us at: </w:t>
      </w:r>
      <w:hyperlink r:id="R08019f76e00146ae">
        <w:r w:rsidRPr="4571A77C" w:rsidR="4571A77C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genome1@cc.ucsf.edu</w:t>
        </w:r>
      </w:hyperlink>
    </w:p>
    <w:p w:rsidR="4571A77C" w:rsidP="7F086E28" w:rsidRDefault="4571A77C" w14:paraId="037042B3" w14:textId="587BD6CA">
      <w:pPr>
        <w:pStyle w:val="ListParagraph"/>
        <w:numPr>
          <w:ilvl w:val="0"/>
          <w:numId w:val="5"/>
        </w:numPr>
        <w:spacing w:before="240" w:beforeAutospacing="off" w:after="240" w:afterAutospacing="off"/>
        <w:ind/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2E74B5" w:themeColor="accent1" w:themeTint="FF" w:themeShade="BF"/>
          <w:sz w:val="24"/>
          <w:szCs w:val="24"/>
          <w:lang w:val="en-US"/>
        </w:rPr>
      </w:pPr>
      <w:r w:rsidRPr="7F086E28" w:rsidR="7F086E28">
        <w:rPr>
          <w:rFonts w:ascii="Calibri" w:hAnsi="Calibri" w:eastAsia="Calibri" w:cs="" w:asciiTheme="minorAscii" w:hAnsiTheme="minorAscii" w:eastAsiaTheme="minorAscii" w:cstheme="minorBidi"/>
          <w:b w:val="1"/>
          <w:bCs w:val="1"/>
          <w:i w:val="1"/>
          <w:iCs w:val="1"/>
          <w:noProof w:val="0"/>
          <w:color w:val="2E74B5" w:themeColor="accent1" w:themeTint="FF" w:themeShade="BF"/>
          <w:sz w:val="24"/>
          <w:szCs w:val="24"/>
          <w:lang w:val="en-US" w:eastAsia="en-US" w:bidi="ar-SA"/>
        </w:rPr>
        <w:t>Tecan Library Prep Automated Systems</w:t>
      </w:r>
    </w:p>
    <w:p w:rsidR="4571A77C" w:rsidP="4571A77C" w:rsidRDefault="4571A77C" w14:paraId="2F43B5B4" w14:textId="179A9337">
      <w:pPr>
        <w:spacing w:before="240" w:beforeAutospacing="off" w:after="240" w:afterAutospacing="off"/>
        <w:ind w:firstLine="720"/>
      </w:pPr>
      <w:r w:rsidRPr="4571A77C" w:rsidR="4571A77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The </w:t>
      </w:r>
      <w:proofErr w:type="spellStart"/>
      <w:r w:rsidRPr="4571A77C" w:rsidR="4571A77C">
        <w:rPr>
          <w:rFonts w:ascii="Calibri" w:hAnsi="Calibri" w:eastAsia="Calibri" w:cs="Calibri"/>
          <w:noProof w:val="0"/>
          <w:sz w:val="24"/>
          <w:szCs w:val="24"/>
          <w:lang w:val="en-US"/>
        </w:rPr>
        <w:t>MagicPrep</w:t>
      </w:r>
      <w:proofErr w:type="spellEnd"/>
      <w:r w:rsidRPr="4571A77C" w:rsidR="4571A77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NGS system is a new category of automated laboratory equipment that </w:t>
      </w:r>
      <w:r>
        <w:tab/>
      </w:r>
      <w:r w:rsidRPr="4571A77C" w:rsidR="4571A77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simplifies NGS library preparation for Illumina sequencing platforms (DNA and mRNA). It </w:t>
      </w:r>
      <w:r>
        <w:tab/>
      </w:r>
      <w:r w:rsidRPr="4571A77C" w:rsidR="4571A77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offers a complete solution with pre-optimized scripts, reagents, and consumables. Learn </w:t>
      </w:r>
      <w:r>
        <w:tab/>
      </w:r>
      <w:r w:rsidRPr="4571A77C" w:rsidR="4571A77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more about the </w:t>
      </w:r>
      <w:hyperlink r:id="R5ccac78601834dff">
        <w:r w:rsidRPr="4571A77C" w:rsidR="4571A77C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MagicPrep NGS system here</w:t>
        </w:r>
      </w:hyperlink>
      <w:r w:rsidRPr="4571A77C" w:rsidR="4571A77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</w:p>
    <w:p w:rsidR="4571A77C" w:rsidP="4571A77C" w:rsidRDefault="4571A77C" w14:paraId="36BC9B90" w14:textId="383D0AB3">
      <w:pPr>
        <w:pStyle w:val="Normal"/>
        <w:spacing w:before="240" w:beforeAutospacing="off" w:after="240" w:afterAutospacing="off"/>
        <w:ind w:firstLine="720"/>
      </w:pPr>
      <w:r>
        <w:drawing>
          <wp:inline wp14:editId="543E3819" wp14:anchorId="29E5632B">
            <wp:extent cx="3179135" cy="1752600"/>
            <wp:effectExtent l="0" t="0" r="0" b="0"/>
            <wp:docPr id="13553543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38731d3e178412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13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71A77C" w:rsidP="4571A77C" w:rsidRDefault="4571A77C" w14:paraId="54A063DD" w14:textId="32B8E44D">
      <w:pPr>
        <w:pStyle w:val="Normal"/>
        <w:spacing w:before="240" w:beforeAutospacing="off" w:after="240" w:afterAutospacing="off"/>
        <w:ind w:firstLine="720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513259BB" w:rsidP="513259BB" w:rsidRDefault="513259BB" w14:paraId="34AFECEA" w14:textId="6B55EA78">
      <w:pPr>
        <w:pStyle w:val="Normal"/>
        <w:spacing w:before="240" w:beforeAutospacing="off" w:after="240" w:afterAutospacing="off"/>
        <w:ind w:left="0" w:hanging="0"/>
        <w:rPr>
          <w:rFonts w:ascii="Calibri" w:hAnsi="Calibri" w:eastAsia="Calibri" w:cs="Calibri" w:asciiTheme="minorAscii" w:hAnsiTheme="minorAscii" w:eastAsiaTheme="minorAscii" w:cstheme="minorBidi"/>
          <w:b w:val="1"/>
          <w:bCs w:val="1"/>
          <w:i w:val="1"/>
          <w:iCs w:val="1"/>
          <w:noProof w:val="0"/>
          <w:color w:val="2E74B5" w:themeColor="accent1" w:themeTint="FF" w:themeShade="BF"/>
          <w:sz w:val="24"/>
          <w:szCs w:val="24"/>
          <w:lang w:val="en-US" w:eastAsia="en-US" w:bidi="ar-SA"/>
        </w:rPr>
      </w:pPr>
    </w:p>
    <w:p w:rsidR="513259BB" w:rsidP="513259BB" w:rsidRDefault="513259BB" w14:paraId="07338721" w14:textId="44D7CBC6">
      <w:pPr>
        <w:pStyle w:val="Normal"/>
        <w:spacing w:before="240" w:beforeAutospacing="off" w:after="240" w:afterAutospacing="off"/>
        <w:ind w:left="0" w:hanging="0"/>
        <w:rPr>
          <w:rFonts w:ascii="Calibri" w:hAnsi="Calibri" w:eastAsia="Calibri" w:cs="" w:asciiTheme="minorAscii" w:hAnsiTheme="minorAscii" w:eastAsiaTheme="minorAscii" w:cstheme="minorBidi"/>
          <w:b w:val="1"/>
          <w:bCs w:val="1"/>
          <w:i w:val="1"/>
          <w:iCs w:val="1"/>
          <w:noProof w:val="0"/>
          <w:color w:val="2E74B5" w:themeColor="accent1" w:themeTint="FF" w:themeShade="BF"/>
          <w:sz w:val="24"/>
          <w:szCs w:val="24"/>
          <w:lang w:val="en-US" w:eastAsia="en-US" w:bidi="ar-SA"/>
        </w:rPr>
      </w:pPr>
    </w:p>
    <w:p w:rsidR="513259BB" w:rsidP="513259BB" w:rsidRDefault="513259BB" w14:paraId="16675E16" w14:textId="4AEBB46A">
      <w:pPr>
        <w:pStyle w:val="Normal"/>
        <w:spacing w:before="240" w:beforeAutospacing="off" w:after="240" w:afterAutospacing="off"/>
        <w:ind w:left="0" w:hanging="0"/>
        <w:rPr>
          <w:rFonts w:ascii="Calibri" w:hAnsi="Calibri" w:eastAsia="Calibri" w:cs="" w:asciiTheme="minorAscii" w:hAnsiTheme="minorAscii" w:eastAsiaTheme="minorAscii" w:cstheme="minorBidi"/>
          <w:b w:val="1"/>
          <w:bCs w:val="1"/>
          <w:i w:val="1"/>
          <w:iCs w:val="1"/>
          <w:noProof w:val="0"/>
          <w:color w:val="2E74B5" w:themeColor="accent1" w:themeTint="FF" w:themeShade="BF"/>
          <w:sz w:val="24"/>
          <w:szCs w:val="24"/>
          <w:lang w:val="en-US" w:eastAsia="en-US" w:bidi="ar-SA"/>
        </w:rPr>
      </w:pPr>
    </w:p>
    <w:p w:rsidR="513259BB" w:rsidP="513259BB" w:rsidRDefault="513259BB" w14:paraId="28224FDD" w14:textId="327D150B">
      <w:pPr>
        <w:pStyle w:val="Normal"/>
        <w:spacing w:before="240" w:beforeAutospacing="off" w:after="240" w:afterAutospacing="off"/>
        <w:ind w:left="0" w:hanging="0"/>
        <w:rPr>
          <w:rFonts w:ascii="Calibri" w:hAnsi="Calibri" w:eastAsia="Calibri" w:cs="" w:asciiTheme="minorAscii" w:hAnsiTheme="minorAscii" w:eastAsiaTheme="minorAscii" w:cstheme="minorBidi"/>
          <w:b w:val="1"/>
          <w:bCs w:val="1"/>
          <w:i w:val="1"/>
          <w:iCs w:val="1"/>
          <w:noProof w:val="0"/>
          <w:color w:val="2E74B5" w:themeColor="accent1" w:themeTint="FF" w:themeShade="BF"/>
          <w:sz w:val="24"/>
          <w:szCs w:val="24"/>
          <w:lang w:val="en-US" w:eastAsia="en-US" w:bidi="ar-SA"/>
        </w:rPr>
      </w:pPr>
    </w:p>
    <w:p w:rsidR="3D332D76" w:rsidP="7F086E28" w:rsidRDefault="3D332D76" w14:paraId="44328825" w14:textId="45E2A2D7">
      <w:pPr>
        <w:pStyle w:val="ListParagraph"/>
        <w:numPr>
          <w:ilvl w:val="0"/>
          <w:numId w:val="6"/>
        </w:numPr>
        <w:spacing w:before="240" w:beforeAutospacing="off" w:after="240" w:afterAutospacing="off"/>
        <w:ind/>
        <w:rPr>
          <w:rFonts w:ascii="Calibri" w:hAnsi="Calibri" w:eastAsia="Calibri" w:cs="" w:asciiTheme="minorAscii" w:hAnsiTheme="minorAscii" w:eastAsiaTheme="minorAscii" w:cstheme="minorBidi"/>
          <w:b w:val="1"/>
          <w:bCs w:val="1"/>
          <w:i w:val="1"/>
          <w:iCs w:val="1"/>
          <w:noProof w:val="0"/>
          <w:color w:val="2E74B5" w:themeColor="accent1" w:themeTint="FF" w:themeShade="BF"/>
          <w:sz w:val="24"/>
          <w:szCs w:val="24"/>
          <w:lang w:val="en-US" w:eastAsia="en-US" w:bidi="ar-SA"/>
        </w:rPr>
      </w:pPr>
      <w:r w:rsidRPr="7F086E28" w:rsidR="7F086E28">
        <w:rPr>
          <w:rFonts w:ascii="Calibri" w:hAnsi="Calibri" w:eastAsia="Calibri" w:cs="" w:asciiTheme="minorAscii" w:hAnsiTheme="minorAscii" w:eastAsiaTheme="minorAscii" w:cstheme="minorBidi"/>
          <w:b w:val="1"/>
          <w:bCs w:val="1"/>
          <w:i w:val="1"/>
          <w:iCs w:val="1"/>
          <w:noProof w:val="0"/>
          <w:color w:val="2E74B5" w:themeColor="accent1" w:themeTint="FF" w:themeShade="BF"/>
          <w:sz w:val="24"/>
          <w:szCs w:val="24"/>
          <w:lang w:val="en-US" w:eastAsia="en-US" w:bidi="ar-SA"/>
        </w:rPr>
        <w:t>Single-cell transcriptomics in situ with 10X Genomics Xenium technology:</w:t>
      </w:r>
    </w:p>
    <w:p w:rsidR="3D332D76" w:rsidP="4571A77C" w:rsidRDefault="3D332D76" w14:paraId="4C245AA5" w14:textId="31FB2C53">
      <w:pPr>
        <w:pStyle w:val="Normal"/>
        <w:spacing w:before="240" w:beforeAutospacing="off" w:after="240" w:afterAutospacing="off"/>
        <w:ind w:left="720" w:hanging="0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4571A77C" w:rsidR="4571A77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Xenium is a state-of-the-art single-cell, high-resolution, imaging-based, spatial profiling technology from 10x Genomics. It allows for simultaneous expression analysis of RNA targets—up to 5,000—within the same tissue section. We provide both full service and training sessions. Learn </w:t>
      </w:r>
      <w:r w:rsidRPr="4571A77C" w:rsidR="4571A77C">
        <w:rPr>
          <w:rFonts w:ascii="Calibri" w:hAnsi="Calibri" w:eastAsia="Calibri" w:cs="Calibri"/>
          <w:noProof w:val="0"/>
          <w:sz w:val="24"/>
          <w:szCs w:val="24"/>
          <w:lang w:val="en-US"/>
        </w:rPr>
        <w:t>mo</w:t>
      </w:r>
      <w:r w:rsidRPr="4571A77C" w:rsidR="4571A77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re about </w:t>
      </w:r>
      <w:r w:rsidRPr="4571A77C" w:rsidR="4571A77C">
        <w:rPr>
          <w:rFonts w:ascii="Calibri" w:hAnsi="Calibri" w:eastAsia="Calibri" w:cs="Calibri"/>
          <w:noProof w:val="0"/>
          <w:sz w:val="24"/>
          <w:szCs w:val="24"/>
          <w:lang w:val="en-US"/>
        </w:rPr>
        <w:t>10X Genomics Xenium he</w:t>
      </w:r>
      <w:r>
        <w:drawing>
          <wp:anchor distT="0" distB="0" distL="114300" distR="114300" simplePos="0" relativeHeight="251658240" behindDoc="0" locked="0" layoutInCell="1" allowOverlap="1" wp14:editId="38354DD6" wp14:anchorId="1B2D3296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419364" cy="1506515"/>
            <wp:effectExtent l="0" t="0" r="0" b="0"/>
            <wp:wrapSquare wrapText="bothSides"/>
            <wp:docPr id="20047016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18a493748cc41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11504" r="30769" b="28982"/>
                    <a:stretch>
                      <a:fillRect/>
                    </a:stretch>
                  </pic:blipFill>
                  <pic:spPr>
                    <a:xfrm>
                      <a:off x="0" y="0"/>
                      <a:ext cx="2419364" cy="150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4571A77C" w:rsidR="4571A77C">
        <w:rPr>
          <w:rFonts w:ascii="Calibri" w:hAnsi="Calibri" w:eastAsia="Calibri" w:cs="Calibri"/>
          <w:noProof w:val="0"/>
          <w:sz w:val="24"/>
          <w:szCs w:val="24"/>
          <w:lang w:val="en-US"/>
        </w:rPr>
        <w:t>re</w:t>
      </w:r>
      <w:r w:rsidRPr="0BDB6EE8" w:rsidR="0BDB6EE8">
        <w:rPr>
          <w:rFonts w:ascii="Calibri" w:hAnsi="Calibri" w:eastAsia="Calibri" w:cs="Calibri"/>
          <w:noProof w:val="0"/>
          <w:sz w:val="24"/>
          <w:szCs w:val="24"/>
          <w:lang w:val="en-US"/>
        </w:rPr>
        <w:t>.</w:t>
      </w:r>
    </w:p>
    <w:p w:rsidR="38A1432F" w:rsidP="38A1432F" w:rsidRDefault="38A1432F" w14:paraId="66C361FB" w14:textId="7AA47282">
      <w:pPr>
        <w:pStyle w:val="Normal"/>
        <w:spacing w:before="240" w:beforeAutospacing="off" w:after="240" w:afterAutospacing="off"/>
        <w:ind w:left="720" w:hanging="0"/>
      </w:pPr>
      <w:r>
        <w:drawing>
          <wp:inline wp14:editId="5489D588" wp14:anchorId="4CAF8932">
            <wp:extent cx="2463113" cy="1752600"/>
            <wp:effectExtent l="0" t="0" r="0" b="0"/>
            <wp:docPr id="1053123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72e56bb209480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63113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71A77C" w:rsidP="4571A77C" w:rsidRDefault="4571A77C" w14:paraId="786B7A18" w14:textId="40AC4744">
      <w:pPr>
        <w:spacing w:before="240" w:beforeAutospacing="off" w:after="240" w:afterAutospacing="off"/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538135" w:themeColor="accent6" w:themeTint="FF" w:themeShade="BF"/>
          <w:sz w:val="24"/>
          <w:szCs w:val="24"/>
          <w:lang w:val="en-US"/>
        </w:rPr>
      </w:pPr>
      <w:r w:rsidRPr="4571A77C" w:rsidR="4571A77C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538135" w:themeColor="accent6" w:themeTint="FF" w:themeShade="BF"/>
          <w:sz w:val="24"/>
          <w:szCs w:val="24"/>
          <w:lang w:val="en-US"/>
        </w:rPr>
        <w:t>Other key offerings include:</w:t>
      </w:r>
    </w:p>
    <w:p w:rsidR="3D332D76" w:rsidP="7F086E28" w:rsidRDefault="3D332D76" w14:paraId="3C6CB155" w14:textId="1B50BD63">
      <w:pPr>
        <w:pStyle w:val="ListParagraph"/>
        <w:numPr>
          <w:ilvl w:val="0"/>
          <w:numId w:val="7"/>
        </w:numPr>
        <w:spacing w:before="240" w:beforeAutospacing="off" w:after="240" w:afterAutospacing="off"/>
        <w:ind/>
        <w:rPr>
          <w:rFonts w:ascii="Calibri" w:hAnsi="Calibri" w:eastAsia="Calibri" w:cs="" w:asciiTheme="minorAscii" w:hAnsiTheme="minorAscii" w:eastAsiaTheme="minorAscii" w:cstheme="minorBidi"/>
          <w:b w:val="1"/>
          <w:bCs w:val="1"/>
          <w:i w:val="1"/>
          <w:iCs w:val="1"/>
          <w:noProof w:val="0"/>
          <w:color w:val="2E74B5" w:themeColor="accent1" w:themeTint="FF" w:themeShade="BF"/>
          <w:sz w:val="24"/>
          <w:szCs w:val="24"/>
          <w:lang w:val="en-US" w:eastAsia="en-US" w:bidi="ar-SA"/>
        </w:rPr>
      </w:pPr>
      <w:proofErr w:type="spellStart"/>
      <w:r w:rsidRPr="7F086E28" w:rsidR="7F086E28">
        <w:rPr>
          <w:rFonts w:ascii="Calibri" w:hAnsi="Calibri" w:eastAsia="Calibri" w:cs="" w:asciiTheme="minorAscii" w:hAnsiTheme="minorAscii" w:eastAsiaTheme="minorAscii" w:cstheme="minorBidi"/>
          <w:b w:val="1"/>
          <w:bCs w:val="1"/>
          <w:i w:val="1"/>
          <w:iCs w:val="1"/>
          <w:noProof w:val="0"/>
          <w:color w:val="2E74B5" w:themeColor="accent1" w:themeTint="FF" w:themeShade="BF"/>
          <w:sz w:val="24"/>
          <w:szCs w:val="24"/>
          <w:lang w:val="en-US" w:eastAsia="en-US" w:bidi="ar-SA"/>
        </w:rPr>
        <w:t>Multiomics</w:t>
      </w:r>
      <w:proofErr w:type="spellEnd"/>
      <w:r w:rsidRPr="7F086E28" w:rsidR="7F086E28">
        <w:rPr>
          <w:rFonts w:ascii="Calibri" w:hAnsi="Calibri" w:eastAsia="Calibri" w:cs="" w:asciiTheme="minorAscii" w:hAnsiTheme="minorAscii" w:eastAsiaTheme="minorAscii" w:cstheme="minorBidi"/>
          <w:b w:val="1"/>
          <w:bCs w:val="1"/>
          <w:i w:val="1"/>
          <w:iCs w:val="1"/>
          <w:noProof w:val="0"/>
          <w:color w:val="2E74B5" w:themeColor="accent1" w:themeTint="FF" w:themeShade="BF"/>
          <w:sz w:val="24"/>
          <w:szCs w:val="24"/>
          <w:lang w:val="en-US" w:eastAsia="en-US" w:bidi="ar-SA"/>
        </w:rPr>
        <w:t xml:space="preserve"> tissue profiling with </w:t>
      </w:r>
      <w:proofErr w:type="spellStart"/>
      <w:r w:rsidRPr="7F086E28" w:rsidR="7F086E28">
        <w:rPr>
          <w:rFonts w:ascii="Calibri" w:hAnsi="Calibri" w:eastAsia="Calibri" w:cs="" w:asciiTheme="minorAscii" w:hAnsiTheme="minorAscii" w:eastAsiaTheme="minorAscii" w:cstheme="minorBidi"/>
          <w:b w:val="1"/>
          <w:bCs w:val="1"/>
          <w:i w:val="1"/>
          <w:iCs w:val="1"/>
          <w:noProof w:val="0"/>
          <w:color w:val="2E74B5" w:themeColor="accent1" w:themeTint="FF" w:themeShade="BF"/>
          <w:sz w:val="24"/>
          <w:szCs w:val="24"/>
          <w:lang w:val="en-US" w:eastAsia="en-US" w:bidi="ar-SA"/>
        </w:rPr>
        <w:t>Nanostring</w:t>
      </w:r>
      <w:proofErr w:type="spellEnd"/>
      <w:r w:rsidRPr="7F086E28" w:rsidR="7F086E28">
        <w:rPr>
          <w:rFonts w:ascii="Calibri" w:hAnsi="Calibri" w:eastAsia="Calibri" w:cs="" w:asciiTheme="minorAscii" w:hAnsiTheme="minorAscii" w:eastAsiaTheme="minorAscii" w:cstheme="minorBidi"/>
          <w:b w:val="1"/>
          <w:bCs w:val="1"/>
          <w:i w:val="1"/>
          <w:iCs w:val="1"/>
          <w:noProof w:val="0"/>
          <w:color w:val="2E74B5" w:themeColor="accent1" w:themeTint="FF" w:themeShade="BF"/>
          <w:sz w:val="24"/>
          <w:szCs w:val="24"/>
          <w:lang w:val="en-US" w:eastAsia="en-US" w:bidi="ar-SA"/>
        </w:rPr>
        <w:t xml:space="preserve"> </w:t>
      </w:r>
      <w:proofErr w:type="spellStart"/>
      <w:r w:rsidRPr="7F086E28" w:rsidR="7F086E28">
        <w:rPr>
          <w:rFonts w:ascii="Calibri" w:hAnsi="Calibri" w:eastAsia="Calibri" w:cs="" w:asciiTheme="minorAscii" w:hAnsiTheme="minorAscii" w:eastAsiaTheme="minorAscii" w:cstheme="minorBidi"/>
          <w:b w:val="1"/>
          <w:bCs w:val="1"/>
          <w:i w:val="1"/>
          <w:iCs w:val="1"/>
          <w:noProof w:val="0"/>
          <w:color w:val="2E74B5" w:themeColor="accent1" w:themeTint="FF" w:themeShade="BF"/>
          <w:sz w:val="24"/>
          <w:szCs w:val="24"/>
          <w:lang w:val="en-US" w:eastAsia="en-US" w:bidi="ar-SA"/>
        </w:rPr>
        <w:t>GeoMx</w:t>
      </w:r>
      <w:proofErr w:type="spellEnd"/>
      <w:r w:rsidRPr="7F086E28" w:rsidR="7F086E28">
        <w:rPr>
          <w:rFonts w:ascii="Calibri" w:hAnsi="Calibri" w:eastAsia="Calibri" w:cs="" w:asciiTheme="minorAscii" w:hAnsiTheme="minorAscii" w:eastAsiaTheme="minorAscii" w:cstheme="minorBidi"/>
          <w:b w:val="1"/>
          <w:bCs w:val="1"/>
          <w:i w:val="1"/>
          <w:iCs w:val="1"/>
          <w:noProof w:val="0"/>
          <w:color w:val="2E74B5" w:themeColor="accent1" w:themeTint="FF" w:themeShade="BF"/>
          <w:sz w:val="24"/>
          <w:szCs w:val="24"/>
          <w:lang w:val="en-US" w:eastAsia="en-US" w:bidi="ar-SA"/>
        </w:rPr>
        <w:t xml:space="preserve"> technology:</w:t>
      </w:r>
    </w:p>
    <w:p w:rsidR="3D332D76" w:rsidP="51CC93AE" w:rsidRDefault="3D332D76" w14:paraId="1D2E4F29" w14:textId="40157DD2">
      <w:pPr>
        <w:pStyle w:val="Normal"/>
        <w:spacing w:before="240" w:beforeAutospacing="off" w:after="240" w:afterAutospacing="off"/>
        <w:ind w:firstLine="720"/>
      </w:pPr>
      <w:r w:rsidRPr="51CC93AE" w:rsidR="51CC93AE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Spatially profile the whole transcriptome and over 570 protein targets, either separately </w:t>
      </w:r>
      <w:r>
        <w:tab/>
      </w:r>
      <w:r w:rsidRPr="51CC93AE" w:rsidR="51CC93AE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or simultaneously, from your choice of sample inputs: whole tissue sections, tissue </w:t>
      </w:r>
      <w:r>
        <w:tab/>
      </w:r>
      <w:r w:rsidRPr="51CC93AE" w:rsidR="51CC93AE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microarrays (TMAs), or organoids. Comprehensive services and training are available. </w:t>
      </w:r>
      <w:r>
        <w:tab/>
      </w:r>
      <w:r w:rsidRPr="51CC93AE" w:rsidR="51CC93AE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Discover more about </w:t>
      </w:r>
      <w:hyperlink r:id="R9c16b2d46c014630">
        <w:r w:rsidRPr="51CC93AE" w:rsidR="51CC93AE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GeoMx Nanostring technology here</w:t>
        </w:r>
      </w:hyperlink>
      <w:r w:rsidRPr="51CC93AE" w:rsidR="51CC93AE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</w:p>
    <w:p w:rsidR="38A1432F" w:rsidP="38A1432F" w:rsidRDefault="38A1432F" w14:paraId="29E81F71" w14:textId="67E3964A">
      <w:pPr>
        <w:pStyle w:val="Normal"/>
        <w:spacing w:before="240" w:beforeAutospacing="off" w:after="240" w:afterAutospacing="off"/>
        <w:ind w:firstLine="720"/>
      </w:pPr>
      <w:r>
        <w:drawing>
          <wp:anchor distT="0" distB="0" distL="114300" distR="114300" simplePos="0" relativeHeight="251658240" behindDoc="0" locked="0" layoutInCell="1" allowOverlap="1" wp14:editId="61461996" wp14:anchorId="6D6B5BCF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181256" cy="2162175"/>
            <wp:effectExtent l="0" t="0" r="0" b="0"/>
            <wp:wrapSquare wrapText="bothSides"/>
            <wp:docPr id="19772166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12b6f3557264f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52291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181256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8A1432F" w:rsidP="4571A77C" w:rsidRDefault="38A1432F" w14:paraId="3658155E" w14:textId="20DD498E">
      <w:pPr>
        <w:pStyle w:val="Normal"/>
        <w:suppressLineNumbers w:val="0"/>
        <w:bidi w:val="0"/>
        <w:spacing w:before="240" w:beforeAutospacing="off" w:after="240" w:afterAutospacing="off" w:line="259" w:lineRule="auto"/>
        <w:ind w:left="0" w:right="0" w:firstLine="720"/>
        <w:jc w:val="left"/>
      </w:pPr>
      <w:r>
        <w:drawing>
          <wp:anchor distT="0" distB="0" distL="114300" distR="114300" simplePos="0" relativeHeight="251658240" behindDoc="0" locked="0" layoutInCell="1" allowOverlap="1" wp14:editId="7C166A7D" wp14:anchorId="25198BAA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308972" cy="1570101"/>
            <wp:effectExtent l="0" t="0" r="0" b="0"/>
            <wp:wrapSquare wrapText="bothSides"/>
            <wp:docPr id="2732682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2fc367748254cd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08972" cy="1570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8A1432F" w:rsidP="7F086E28" w:rsidRDefault="38A1432F" w14:paraId="363C4576" w14:textId="2418C907">
      <w:pPr>
        <w:pStyle w:val="Heading3"/>
        <w:numPr>
          <w:ilvl w:val="0"/>
          <w:numId w:val="8"/>
        </w:numPr>
        <w:spacing w:before="0" w:beforeAutospacing="off" w:after="90" w:afterAutospacing="off"/>
        <w:ind/>
        <w:rPr>
          <w:rFonts w:ascii="Calibri" w:hAnsi="Calibri" w:eastAsia="Calibri" w:cs="" w:asciiTheme="minorAscii" w:hAnsiTheme="minorAscii" w:eastAsiaTheme="minorAscii" w:cstheme="minorBidi"/>
          <w:b w:val="1"/>
          <w:bCs w:val="1"/>
          <w:i w:val="1"/>
          <w:iCs w:val="1"/>
          <w:noProof w:val="0"/>
          <w:color w:val="2E74B5" w:themeColor="accent1" w:themeTint="FF" w:themeShade="BF"/>
          <w:sz w:val="24"/>
          <w:szCs w:val="24"/>
          <w:lang w:val="en-US" w:eastAsia="en-US" w:bidi="ar-SA"/>
        </w:rPr>
      </w:pPr>
      <w:proofErr w:type="spellStart"/>
      <w:r w:rsidRPr="7F086E28" w:rsidR="7F086E28">
        <w:rPr>
          <w:rFonts w:ascii="Calibri" w:hAnsi="Calibri" w:eastAsia="Calibri" w:cs="" w:asciiTheme="minorAscii" w:hAnsiTheme="minorAscii" w:eastAsiaTheme="minorAscii" w:cstheme="minorBidi"/>
          <w:b w:val="1"/>
          <w:bCs w:val="1"/>
          <w:i w:val="1"/>
          <w:iCs w:val="1"/>
          <w:noProof w:val="0"/>
          <w:color w:val="2E74B5" w:themeColor="accent1" w:themeTint="FF" w:themeShade="BF"/>
          <w:sz w:val="24"/>
          <w:szCs w:val="24"/>
          <w:lang w:val="en-US" w:eastAsia="en-US" w:bidi="ar-SA"/>
        </w:rPr>
        <w:t>Nanostring</w:t>
      </w:r>
      <w:proofErr w:type="spellEnd"/>
      <w:r w:rsidRPr="7F086E28" w:rsidR="7F086E28">
        <w:rPr>
          <w:rFonts w:ascii="Calibri" w:hAnsi="Calibri" w:eastAsia="Calibri" w:cs="" w:asciiTheme="minorAscii" w:hAnsiTheme="minorAscii" w:eastAsiaTheme="minorAscii" w:cstheme="minorBidi"/>
          <w:b w:val="1"/>
          <w:bCs w:val="1"/>
          <w:i w:val="1"/>
          <w:iCs w:val="1"/>
          <w:noProof w:val="0"/>
          <w:color w:val="2E74B5" w:themeColor="accent1" w:themeTint="FF" w:themeShade="BF"/>
          <w:sz w:val="24"/>
          <w:szCs w:val="24"/>
          <w:lang w:val="en-US" w:eastAsia="en-US" w:bidi="ar-SA"/>
        </w:rPr>
        <w:t xml:space="preserve"> nCounter Spring</w:t>
      </w:r>
    </w:p>
    <w:p w:rsidR="38A1432F" w:rsidP="114E5617" w:rsidRDefault="38A1432F" w14:paraId="123A57B9" w14:textId="44059C49">
      <w:pPr>
        <w:pStyle w:val="Normal"/>
        <w:spacing w:before="240" w:beforeAutospacing="off" w:after="240" w:afterAutospacing="off"/>
        <w:ind w:firstLine="720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114E5617" w:rsidR="114E5617">
        <w:rPr>
          <w:rFonts w:ascii="Calibri" w:hAnsi="Calibri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The nCounter® platform provides a simple and cost-effective solution for multiplex </w:t>
      </w:r>
      <w:r>
        <w:tab/>
      </w:r>
      <w:r w:rsidRPr="114E5617" w:rsidR="114E5617">
        <w:rPr>
          <w:rFonts w:ascii="Calibri" w:hAnsi="Calibri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analysis of up to 800 RNA, DNA, or protein targets. Learn more about the </w:t>
      </w:r>
      <w:hyperlink r:id="Re77af81ec51f421b">
        <w:r w:rsidRPr="114E5617" w:rsidR="114E5617">
          <w:rPr>
            <w:rStyle w:val="Hyperlink"/>
            <w:rFonts w:ascii="Calibri" w:hAnsi="Calibri" w:eastAsia="Calibri" w:cs="" w:asciiTheme="minorAscii" w:hAnsiTheme="minorAscii" w:eastAsiaTheme="minorAscii" w:cstheme="minorBidi"/>
            <w:noProof w:val="0"/>
            <w:sz w:val="24"/>
            <w:szCs w:val="24"/>
            <w:lang w:val="en-US" w:eastAsia="en-US" w:bidi="ar-SA"/>
          </w:rPr>
          <w:t xml:space="preserve">nCounter </w:t>
        </w:r>
      </w:hyperlink>
      <w:r>
        <w:tab/>
      </w:r>
      <w:r w:rsidRPr="114E5617" w:rsidR="114E5617">
        <w:rPr>
          <w:rStyle w:val="Hyperlink"/>
          <w:rFonts w:ascii="Calibri" w:hAnsi="Calibri" w:eastAsia="Calibri" w:cs="" w:asciiTheme="minorAscii" w:hAnsiTheme="minorAscii" w:eastAsiaTheme="minorAscii" w:cstheme="minorBidi"/>
          <w:noProof w:val="0"/>
          <w:sz w:val="24"/>
          <w:szCs w:val="24"/>
          <w:lang w:val="en-US" w:eastAsia="en-US" w:bidi="ar-SA"/>
        </w:rPr>
        <w:t>technology and panels here</w:t>
      </w:r>
      <w:r w:rsidRPr="114E5617" w:rsidR="114E5617">
        <w:rPr>
          <w:rFonts w:ascii="Calibri" w:hAnsi="Calibri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.</w:t>
      </w:r>
    </w:p>
    <w:p w:rsidR="114E5617" w:rsidP="114E5617" w:rsidRDefault="114E5617" w14:paraId="4BAD986C" w14:textId="02EBF249">
      <w:pPr>
        <w:pStyle w:val="Normal"/>
        <w:ind w:firstLine="720"/>
        <w:rPr>
          <w:rFonts w:ascii="Calibri" w:hAnsi="Calibri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</w:pPr>
    </w:p>
    <w:p w:rsidR="114E5617" w:rsidP="114E5617" w:rsidRDefault="114E5617" w14:paraId="0B56A2C7" w14:textId="78FCC9A2">
      <w:pPr>
        <w:pStyle w:val="Normal"/>
        <w:ind w:firstLine="720"/>
      </w:pPr>
      <w:r>
        <w:drawing>
          <wp:inline wp14:editId="428E2CA7" wp14:anchorId="56596848">
            <wp:extent cx="2013694" cy="1676400"/>
            <wp:effectExtent l="0" t="0" r="0" b="0"/>
            <wp:docPr id="197807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d10fa29fd8a4dc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13694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71A77C" w:rsidP="4571A77C" w:rsidRDefault="4571A77C" w14:paraId="59CFAA4D" w14:textId="48487CAE">
      <w:pPr>
        <w:pStyle w:val="Normal"/>
        <w:spacing w:before="240" w:beforeAutospacing="off" w:after="240" w:afterAutospacing="off"/>
        <w:ind w:firstLine="720"/>
      </w:pPr>
    </w:p>
    <w:p w:rsidR="07FCDA0A" w:rsidP="7F086E28" w:rsidRDefault="07FCDA0A" w14:paraId="07670B7E" w14:textId="119FACEB">
      <w:pPr>
        <w:pStyle w:val="ListParagraph"/>
        <w:numPr>
          <w:ilvl w:val="0"/>
          <w:numId w:val="10"/>
        </w:numPr>
        <w:spacing w:before="240" w:beforeAutospacing="off" w:after="240" w:afterAutospacing="off"/>
        <w:rPr>
          <w:rFonts w:ascii="Calibri" w:hAnsi="Calibri" w:eastAsia="Calibri" w:cs="" w:asciiTheme="minorAscii" w:hAnsiTheme="minorAscii" w:eastAsiaTheme="minorAscii" w:cstheme="minorBidi"/>
          <w:b w:val="1"/>
          <w:bCs w:val="1"/>
          <w:i w:val="1"/>
          <w:iCs w:val="1"/>
          <w:noProof w:val="0"/>
          <w:color w:val="2E74B5" w:themeColor="accent1" w:themeTint="FF" w:themeShade="BF"/>
          <w:sz w:val="24"/>
          <w:szCs w:val="24"/>
          <w:lang w:val="en-US" w:eastAsia="en-US" w:bidi="ar-SA"/>
        </w:rPr>
      </w:pPr>
      <w:r w:rsidRPr="7F086E28" w:rsidR="7F086E28">
        <w:rPr>
          <w:rFonts w:ascii="Calibri" w:hAnsi="Calibri" w:eastAsia="Calibri" w:cs="" w:asciiTheme="minorAscii" w:hAnsiTheme="minorAscii" w:eastAsiaTheme="minorAscii" w:cstheme="minorBidi"/>
          <w:b w:val="1"/>
          <w:bCs w:val="1"/>
          <w:i w:val="1"/>
          <w:iCs w:val="1"/>
          <w:noProof w:val="0"/>
          <w:color w:val="2E74B5" w:themeColor="accent1" w:themeTint="FF" w:themeShade="BF"/>
          <w:sz w:val="24"/>
          <w:szCs w:val="24"/>
          <w:lang w:val="en-US" w:eastAsia="en-US" w:bidi="ar-SA"/>
        </w:rPr>
        <w:t xml:space="preserve">Liquid Handler </w:t>
      </w:r>
      <w:proofErr w:type="spellStart"/>
      <w:r w:rsidRPr="7F086E28" w:rsidR="7F086E28">
        <w:rPr>
          <w:rFonts w:ascii="Calibri" w:hAnsi="Calibri" w:eastAsia="Calibri" w:cs="" w:asciiTheme="minorAscii" w:hAnsiTheme="minorAscii" w:eastAsiaTheme="minorAscii" w:cstheme="minorBidi"/>
          <w:b w:val="1"/>
          <w:bCs w:val="1"/>
          <w:i w:val="1"/>
          <w:iCs w:val="1"/>
          <w:noProof w:val="0"/>
          <w:color w:val="2E74B5" w:themeColor="accent1" w:themeTint="FF" w:themeShade="BF"/>
          <w:sz w:val="24"/>
          <w:szCs w:val="24"/>
          <w:lang w:val="en-US" w:eastAsia="en-US" w:bidi="ar-SA"/>
        </w:rPr>
        <w:t>EpMotion</w:t>
      </w:r>
      <w:proofErr w:type="spellEnd"/>
      <w:r w:rsidRPr="7F086E28" w:rsidR="7F086E28">
        <w:rPr>
          <w:rFonts w:ascii="Calibri" w:hAnsi="Calibri" w:eastAsia="Calibri" w:cs="" w:asciiTheme="minorAscii" w:hAnsiTheme="minorAscii" w:eastAsiaTheme="minorAscii" w:cstheme="minorBidi"/>
          <w:b w:val="1"/>
          <w:bCs w:val="1"/>
          <w:i w:val="1"/>
          <w:iCs w:val="1"/>
          <w:noProof w:val="0"/>
          <w:color w:val="2E74B5" w:themeColor="accent1" w:themeTint="FF" w:themeShade="BF"/>
          <w:sz w:val="24"/>
          <w:szCs w:val="24"/>
          <w:lang w:val="en-US" w:eastAsia="en-US" w:bidi="ar-SA"/>
        </w:rPr>
        <w:t>:</w:t>
      </w:r>
    </w:p>
    <w:p w:rsidR="114E5617" w:rsidP="4571A77C" w:rsidRDefault="114E5617" w14:paraId="6D5F5A24" w14:textId="517F4583">
      <w:pPr>
        <w:pStyle w:val="ListParagraph"/>
        <w:spacing w:before="240" w:beforeAutospacing="off" w:after="240" w:afterAutospacing="off"/>
        <w:ind w:left="720" w:hanging="0"/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auto"/>
          <w:sz w:val="24"/>
          <w:szCs w:val="24"/>
          <w:lang w:val="en-US" w:eastAsia="en-US" w:bidi="ar-SA"/>
        </w:rPr>
      </w:pPr>
    </w:p>
    <w:p w:rsidR="114E5617" w:rsidP="4571A77C" w:rsidRDefault="114E5617" w14:paraId="7FDF007A" w14:textId="14C9F1A2">
      <w:pPr>
        <w:pStyle w:val="ListParagraph"/>
        <w:spacing w:before="240" w:beforeAutospacing="off" w:after="240" w:afterAutospacing="off"/>
        <w:ind w:left="720" w:hanging="0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bfb4a4cda61c43ff">
        <w:r w:rsidRPr="4571A77C" w:rsidR="4571A77C">
          <w:rPr>
            <w:rFonts w:ascii="Calibri" w:hAnsi="Calibri" w:eastAsia="Calibri" w:cs="Calibri" w:asciiTheme="minorAscii" w:hAnsiTheme="minorAscii" w:eastAsiaTheme="minorAscii" w:cstheme="minorBidi"/>
            <w:noProof w:val="0"/>
            <w:color w:val="auto"/>
            <w:sz w:val="24"/>
            <w:szCs w:val="24"/>
            <w:lang w:val="en-US" w:eastAsia="en-US" w:bidi="ar-SA"/>
          </w:rPr>
          <w:t>EpMotion 5075</w:t>
        </w:r>
      </w:hyperlink>
      <w:r w:rsidRPr="4571A77C" w:rsidR="4571A77C">
        <w:rPr>
          <w:rFonts w:ascii="Calibri" w:hAnsi="Calibri" w:eastAsia="Calibri" w:cs="Calibri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is an automated liquid handling system linked to a desktop computer software is designed for effective, automated liquid handling applications providing a precise, accurate alternative to time-consuming manual pipetting and liquid handling tasks. For inquires and protocols development please contact Dr. Benjamin Braun at </w:t>
      </w:r>
      <w:hyperlink r:id="R27c1d103aad3432a">
        <w:r w:rsidRPr="4571A77C" w:rsidR="4571A77C">
          <w:rPr>
            <w:rStyle w:val="Hyperlink"/>
            <w:rFonts w:ascii="Calibri" w:hAnsi="Calibri" w:eastAsia="Calibri" w:cs="Calibri" w:asciiTheme="minorAscii" w:hAnsiTheme="minorAscii" w:eastAsiaTheme="minorAscii" w:cstheme="minorBidi"/>
            <w:noProof w:val="0"/>
            <w:sz w:val="24"/>
            <w:szCs w:val="24"/>
            <w:lang w:val="en-US" w:eastAsia="en-US" w:bidi="ar-SA"/>
          </w:rPr>
          <w:t>Ben.Braun@ucsf.edu</w:t>
        </w:r>
      </w:hyperlink>
    </w:p>
    <w:p w:rsidR="4571A77C" w:rsidP="4571A77C" w:rsidRDefault="4571A77C" w14:paraId="7130FE29" w14:textId="1609DEFF">
      <w:pPr>
        <w:pStyle w:val="ListParagraph"/>
        <w:spacing w:before="240" w:beforeAutospacing="off" w:after="240" w:afterAutospacing="off"/>
        <w:ind w:left="720" w:hanging="0"/>
        <w:rPr>
          <w:rFonts w:ascii="Calibri" w:hAnsi="Calibri" w:eastAsia="Calibri" w:cs="Calibri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</w:pPr>
    </w:p>
    <w:p w:rsidR="114E5617" w:rsidP="114E5617" w:rsidRDefault="114E5617" w14:paraId="32F3BFAE" w14:textId="4376ECE3">
      <w:pPr>
        <w:pStyle w:val="ListParagraph"/>
        <w:spacing w:before="240" w:beforeAutospacing="off" w:after="240" w:afterAutospacing="off"/>
        <w:ind w:left="720" w:hanging="0"/>
      </w:pPr>
      <w:r>
        <w:drawing>
          <wp:inline wp14:editId="2DAD74F1" wp14:anchorId="24023CB9">
            <wp:extent cx="2457450" cy="2457450"/>
            <wp:effectExtent l="0" t="0" r="0" b="0"/>
            <wp:docPr id="15155122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f1299c72fd24a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7FCDA0A" w:rsidP="07FCDA0A" w:rsidRDefault="07FCDA0A" w14:paraId="3B06C7E6" w14:textId="103ACC72">
      <w:pPr>
        <w:pStyle w:val="ListParagraph"/>
        <w:spacing w:before="240" w:beforeAutospacing="off" w:after="240" w:afterAutospacing="off"/>
        <w:ind w:left="720" w:hanging="0"/>
        <w:rPr>
          <w:rFonts w:ascii="Calibri" w:hAnsi="Calibri" w:eastAsia="Calibri" w:cs="Calibri" w:asciiTheme="minorAscii" w:hAnsiTheme="minorAscii" w:eastAsiaTheme="minorAscii" w:cstheme="minorBidi"/>
          <w:b w:val="1"/>
          <w:bCs w:val="1"/>
          <w:noProof w:val="0"/>
          <w:color w:val="auto"/>
          <w:sz w:val="24"/>
          <w:szCs w:val="24"/>
          <w:lang w:val="en-US" w:eastAsia="en-US" w:bidi="ar-SA"/>
        </w:rPr>
      </w:pPr>
    </w:p>
    <w:p w:rsidR="07FCDA0A" w:rsidP="07FCDA0A" w:rsidRDefault="07FCDA0A" w14:paraId="4B15AE4B" w14:textId="7BE9289C">
      <w:pPr>
        <w:pStyle w:val="ListParagraph"/>
        <w:spacing w:before="240" w:beforeAutospacing="off" w:after="240" w:afterAutospacing="off"/>
        <w:ind w:left="720" w:hanging="0"/>
        <w:rPr>
          <w:rFonts w:ascii="Calibri" w:hAnsi="Calibri" w:eastAsia="Calibri" w:cs="Calibri" w:asciiTheme="minorAscii" w:hAnsiTheme="minorAscii" w:eastAsiaTheme="minorAscii" w:cstheme="minorBidi"/>
          <w:b w:val="1"/>
          <w:bCs w:val="1"/>
          <w:noProof w:val="0"/>
          <w:color w:val="auto"/>
          <w:sz w:val="24"/>
          <w:szCs w:val="24"/>
          <w:lang w:val="en-US" w:eastAsia="en-US" w:bidi="ar-SA"/>
        </w:rPr>
      </w:pPr>
    </w:p>
    <w:p w:rsidR="3D332D76" w:rsidP="3D332D76" w:rsidRDefault="3D332D76" w14:paraId="48EC3AB9" w14:textId="116F0638">
      <w:pPr>
        <w:spacing w:before="240" w:beforeAutospacing="off" w:after="240" w:afterAutospacing="off"/>
      </w:pPr>
      <w:r w:rsidRPr="3D332D76" w:rsidR="3D332D76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Take advantage of these cutting-edge technologies and elevate your research with the LCA Genome Core! Submit your inquiries to </w:t>
      </w:r>
      <w:hyperlink r:id="Ra92429bb3bad4d75">
        <w:r w:rsidRPr="3D332D76" w:rsidR="3D332D76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genome1@ucsf.edu</w:t>
        </w:r>
      </w:hyperlink>
      <w:r w:rsidRPr="3D332D76" w:rsidR="3D332D76">
        <w:rPr>
          <w:rFonts w:ascii="Calibri" w:hAnsi="Calibri" w:eastAsia="Calibri" w:cs="Calibri"/>
          <w:noProof w:val="0"/>
          <w:sz w:val="24"/>
          <w:szCs w:val="24"/>
          <w:lang w:val="en-US"/>
        </w:rPr>
        <w:t>.</w:t>
      </w:r>
    </w:p>
    <w:p w:rsidR="3D332D76" w:rsidP="3D332D76" w:rsidRDefault="3D332D76" w14:paraId="31E2350F" w14:textId="691D385D">
      <w:pPr>
        <w:pStyle w:val="Normal"/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</w:pPr>
    </w:p>
    <w:sectPr w:rsidR="00D1010D" w:rsidSect="00EE6E42"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93f4dde6a5ab45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8A1432F" w:rsidTr="38A1432F" w14:paraId="404286CC">
      <w:trPr>
        <w:trHeight w:val="300"/>
      </w:trPr>
      <w:tc>
        <w:tcPr>
          <w:tcW w:w="3120" w:type="dxa"/>
          <w:tcMar/>
        </w:tcPr>
        <w:p w:rsidR="38A1432F" w:rsidP="38A1432F" w:rsidRDefault="38A1432F" w14:paraId="73A2D978" w14:textId="05D8126D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38A1432F" w:rsidP="38A1432F" w:rsidRDefault="38A1432F" w14:paraId="6BD894F3" w14:textId="513B2A5B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38A1432F" w:rsidP="38A1432F" w:rsidRDefault="38A1432F" w14:paraId="228FCF2A" w14:textId="04FC9082">
          <w:pPr>
            <w:pStyle w:val="Header"/>
            <w:bidi w:val="0"/>
            <w:ind w:right="-115"/>
            <w:jc w:val="right"/>
          </w:pPr>
        </w:p>
      </w:tc>
    </w:tr>
  </w:tbl>
  <w:p w:rsidR="38A1432F" w:rsidP="38A1432F" w:rsidRDefault="38A1432F" w14:paraId="6A2D4CC7" w14:textId="504BDA6F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0">
    <w:nsid w:val="2d56ef5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3d244a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37e19e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657bed8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2b5a512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♦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7e3fb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♦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c7b98b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5b67dec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19f0d39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2dddc51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10D"/>
    <w:rsid w:val="00D1010D"/>
    <w:rsid w:val="00EE6E42"/>
    <w:rsid w:val="07FCDA0A"/>
    <w:rsid w:val="0BDB6EE8"/>
    <w:rsid w:val="0E68CA4B"/>
    <w:rsid w:val="0FDEC4F2"/>
    <w:rsid w:val="114E5617"/>
    <w:rsid w:val="19F796E7"/>
    <w:rsid w:val="2AFED979"/>
    <w:rsid w:val="2F56785A"/>
    <w:rsid w:val="38A1432F"/>
    <w:rsid w:val="3D332D76"/>
    <w:rsid w:val="42F175F1"/>
    <w:rsid w:val="4571A77C"/>
    <w:rsid w:val="513259BB"/>
    <w:rsid w:val="51CC93AE"/>
    <w:rsid w:val="58114C68"/>
    <w:rsid w:val="5A54EF53"/>
    <w:rsid w:val="6536072E"/>
    <w:rsid w:val="70696CE2"/>
    <w:rsid w:val="7D0A1179"/>
    <w:rsid w:val="7F08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D877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eading3Char" w:customStyle="1" mc:Ignorable="w14">
    <w:name xmlns:w="http://schemas.openxmlformats.org/wordprocessingml/2006/main" w:val="Heading 3 Char"/>
    <w:basedOn xmlns:w="http://schemas.openxmlformats.org/wordprocessingml/2006/main" w:val="DefaultParagraphFont"/>
    <w:link xmlns:w="http://schemas.openxmlformats.org/wordprocessingml/2006/main" w:val="Heading3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3" mc:Ignorable="w14">
    <w:name xmlns:w="http://schemas.openxmlformats.org/wordprocessingml/2006/main" w:val="heading 3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3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2"/>
    </w:pPr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fontTable" Target="fontTable.xml" Id="rId4" /><Relationship Type="http://schemas.openxmlformats.org/officeDocument/2006/relationships/theme" Target="theme/theme1.xml" Id="rId5" /><Relationship Type="http://schemas.openxmlformats.org/officeDocument/2006/relationships/styles" Target="styles.xml" Id="rId1" /><Relationship Type="http://schemas.openxmlformats.org/officeDocument/2006/relationships/settings" Target="settings.xml" Id="rId2" /><Relationship Type="http://schemas.openxmlformats.org/officeDocument/2006/relationships/numbering" Target="numbering.xml" Id="R7d70e7f21d074cec" /><Relationship Type="http://schemas.openxmlformats.org/officeDocument/2006/relationships/hyperlink" Target="mailto:genome1@ucsf.edu" TargetMode="External" Id="Ra92429bb3bad4d75" /><Relationship Type="http://schemas.openxmlformats.org/officeDocument/2006/relationships/header" Target="header.xml" Id="R93f4dde6a5ab4500" /><Relationship Type="http://schemas.openxmlformats.org/officeDocument/2006/relationships/hyperlink" Target="https://nanostring.com/products/ncounter-assays-panels/oncology/" TargetMode="External" Id="Re77af81ec51f421b" /><Relationship Type="http://schemas.openxmlformats.org/officeDocument/2006/relationships/image" Target="/media/image5.png" Id="R5f1299c72fd24ac2" /><Relationship Type="http://schemas.openxmlformats.org/officeDocument/2006/relationships/hyperlink" Target="https://cancer.ucsf.edu/research/cores/lca/lca-genome" TargetMode="External" Id="R6f320be55a74468c" /><Relationship Type="http://schemas.openxmlformats.org/officeDocument/2006/relationships/hyperlink" Target="mailto:genome1@cc.ucsf.edu" TargetMode="External" Id="R08019f76e00146ae" /><Relationship Type="http://schemas.openxmlformats.org/officeDocument/2006/relationships/hyperlink" Target="https://www.tecan.com/magic" TargetMode="External" Id="R5ccac78601834dff" /><Relationship Type="http://schemas.openxmlformats.org/officeDocument/2006/relationships/image" Target="/media/image6.png" Id="R038731d3e1784127" /><Relationship Type="http://schemas.openxmlformats.org/officeDocument/2006/relationships/image" Target="/media/imagea.png" Id="R8d10fa29fd8a4dca" /><Relationship Type="http://schemas.openxmlformats.org/officeDocument/2006/relationships/hyperlink" Target="https://online-shop.eppendorf.us/US-en/Automated-Pipetting-44509/Liquid-Handling-Workstations-44510/epMotion5075LH-PF-14372.html?_ga=2.7612146.1587745248.1574362941-1704670477.1574102635" TargetMode="External" Id="Rbfb4a4cda61c43ff" /><Relationship Type="http://schemas.openxmlformats.org/officeDocument/2006/relationships/hyperlink" Target="mailto:Ben.Braun@ucsf.edu" TargetMode="External" Id="R27c1d103aad3432a" /><Relationship Type="http://schemas.openxmlformats.org/officeDocument/2006/relationships/image" Target="/media/image8.png" Id="Rd18a493748cc4154" /><Relationship Type="http://schemas.openxmlformats.org/officeDocument/2006/relationships/image" Target="/media/imagec.png" Id="R9272e56bb2094804" /><Relationship Type="http://schemas.openxmlformats.org/officeDocument/2006/relationships/hyperlink" Target="https://nanostring.com/products/geomx-digital-spatial-profiler/geomx-dsp-overview/" TargetMode="External" Id="R9c16b2d46c014630" /><Relationship Type="http://schemas.openxmlformats.org/officeDocument/2006/relationships/image" Target="/media/image7.png" Id="R312b6f3557264fe4" /><Relationship Type="http://schemas.openxmlformats.org/officeDocument/2006/relationships/image" Target="/media/imageb.png" Id="R52fc367748254cd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Emanuela Zacco</lastModifiedBy>
  <revision>21</revision>
  <dcterms:created xsi:type="dcterms:W3CDTF">2018-02-09T21:34:00.0000000Z</dcterms:created>
  <dcterms:modified xsi:type="dcterms:W3CDTF">2024-09-13T21:03:56.0012603Z</dcterms:modified>
</coreProperties>
</file>