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C6D5A" w14:textId="36E91185" w:rsidR="007B1EA7" w:rsidRDefault="006331B4" w:rsidP="007B1EA7">
      <w:pPr>
        <w:pStyle w:val="AgilentDocTitle"/>
        <w:spacing w:line="240" w:lineRule="auto"/>
      </w:pPr>
      <w:r>
        <w:t>Gladstone</w:t>
      </w:r>
      <w:r w:rsidR="00DE4510">
        <w:t xml:space="preserve"> and SF VA Medical Center</w:t>
      </w:r>
      <w:r>
        <w:t xml:space="preserve"> PI and User Process</w:t>
      </w:r>
    </w:p>
    <w:p w14:paraId="58E28DDE" w14:textId="487C78DF" w:rsidR="00481AB6" w:rsidRPr="00A40863" w:rsidRDefault="00481AB6" w:rsidP="00A40863">
      <w:pPr>
        <w:pStyle w:val="TOC1"/>
      </w:pPr>
    </w:p>
    <w:p w14:paraId="157BAEF3" w14:textId="1A47A9A0" w:rsidR="00481AB6" w:rsidRPr="009B6E5E" w:rsidRDefault="00A0314A" w:rsidP="009B6E5E">
      <w:pPr>
        <w:pStyle w:val="Header1"/>
        <w:rPr>
          <w:b/>
          <w:bCs/>
        </w:rPr>
      </w:pPr>
      <w:r w:rsidRPr="009B6E5E">
        <w:rPr>
          <w:b/>
          <w:bCs/>
        </w:rPr>
        <w:t>Gladstone Users and PIs</w:t>
      </w:r>
    </w:p>
    <w:p w14:paraId="6E67FB0D" w14:textId="77777777" w:rsidR="007B1EA7" w:rsidRDefault="007B1EA7" w:rsidP="008B25EF">
      <w:pPr>
        <w:pStyle w:val="AgilentCommuniqueBody"/>
      </w:pPr>
    </w:p>
    <w:p w14:paraId="2D9AA6A3" w14:textId="68F936F5" w:rsidR="005A5199" w:rsidRDefault="006331B4" w:rsidP="008B25EF">
      <w:pPr>
        <w:pStyle w:val="AgilentCommuniqueBody"/>
      </w:pPr>
      <w:r>
        <w:t xml:space="preserve">Gladstone utilizes iLab for their core facilities and their PIs have labs within Gladstone. Some Gladstone PIs need to utilize UCSF </w:t>
      </w:r>
      <w:proofErr w:type="spellStart"/>
      <w:r>
        <w:t>Speedtypes</w:t>
      </w:r>
      <w:proofErr w:type="spellEnd"/>
      <w:r>
        <w:t xml:space="preserve"> but since the PI does not come through in the nightly fund file their lab needs to be created manually, PI needs to be added to the lab, </w:t>
      </w:r>
      <w:r w:rsidR="0079219B">
        <w:t xml:space="preserve">members of that PI’s lab need to be added, </w:t>
      </w:r>
      <w:proofErr w:type="spellStart"/>
      <w:r w:rsidR="0079219B">
        <w:t>Speedtype</w:t>
      </w:r>
      <w:proofErr w:type="spellEnd"/>
      <w:r w:rsidR="0079219B">
        <w:t xml:space="preserve"> needs to be added to the lab and assigned to members. This document outlines the process for Gladstone PIs and Users. </w:t>
      </w:r>
    </w:p>
    <w:p w14:paraId="44E85D29" w14:textId="3AA498DC" w:rsidR="009E29B6" w:rsidRDefault="009E29B6" w:rsidP="00022526">
      <w:pPr>
        <w:pStyle w:val="Header2"/>
      </w:pPr>
    </w:p>
    <w:p w14:paraId="0BB791CA" w14:textId="73D08B66" w:rsidR="009E29B6" w:rsidRPr="00022526" w:rsidRDefault="009E29B6" w:rsidP="009B6E5E">
      <w:pPr>
        <w:pStyle w:val="Header3"/>
      </w:pPr>
      <w:r w:rsidRPr="00022526">
        <w:t>Gladstone user request access to UCSF lab</w:t>
      </w:r>
    </w:p>
    <w:p w14:paraId="54767900" w14:textId="4391284C" w:rsidR="008A1C66" w:rsidRDefault="00B55692" w:rsidP="008B25EF">
      <w:pPr>
        <w:pStyle w:val="AgilentCommuniqueBody"/>
        <w:numPr>
          <w:ilvl w:val="0"/>
          <w:numId w:val="9"/>
        </w:numPr>
      </w:pPr>
      <w:r>
        <w:t xml:space="preserve">Click the hamburger icon in the upper </w:t>
      </w:r>
      <w:r w:rsidR="00B418AC">
        <w:t>left-hand</w:t>
      </w:r>
      <w:r>
        <w:t xml:space="preserve"> corner of iLab to expand your left navigation menu</w:t>
      </w:r>
    </w:p>
    <w:p w14:paraId="3AA7F19D" w14:textId="722C3C95" w:rsidR="00B55692" w:rsidRDefault="00B55692" w:rsidP="008B25EF">
      <w:pPr>
        <w:pStyle w:val="AgilentCommuniqueBody"/>
        <w:numPr>
          <w:ilvl w:val="0"/>
          <w:numId w:val="9"/>
        </w:numPr>
      </w:pPr>
      <w:r>
        <w:t xml:space="preserve">Click </w:t>
      </w:r>
      <w:r w:rsidR="009E309E">
        <w:t>‘</w:t>
      </w:r>
      <w:r>
        <w:t>Manage Groups header</w:t>
      </w:r>
      <w:r w:rsidR="0068723C">
        <w:t xml:space="preserve"> to</w:t>
      </w:r>
    </w:p>
    <w:p w14:paraId="261D231B" w14:textId="03BE3E72" w:rsidR="00933E12" w:rsidRDefault="00933E12" w:rsidP="008B25EF">
      <w:pPr>
        <w:pStyle w:val="AgilentCommuniqueBody"/>
      </w:pPr>
      <w:r>
        <w:rPr>
          <w:noProof/>
        </w:rPr>
        <w:drawing>
          <wp:inline distT="0" distB="0" distL="0" distR="0" wp14:anchorId="23BC3E0C" wp14:editId="1B436674">
            <wp:extent cx="1546170" cy="20222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7962" cy="205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E47C6" w14:textId="77777777" w:rsidR="00933E12" w:rsidRDefault="00933E12" w:rsidP="008B25EF">
      <w:pPr>
        <w:pStyle w:val="AgilentCommuniqueBody"/>
      </w:pPr>
    </w:p>
    <w:p w14:paraId="6C1BBB76" w14:textId="59E3F5CA" w:rsidR="00B55692" w:rsidRDefault="0068723C" w:rsidP="008B25EF">
      <w:pPr>
        <w:pStyle w:val="AgilentCommuniqueBody"/>
        <w:numPr>
          <w:ilvl w:val="0"/>
          <w:numId w:val="9"/>
        </w:numPr>
      </w:pPr>
      <w:r>
        <w:t xml:space="preserve">Click </w:t>
      </w:r>
      <w:r w:rsidR="009E309E">
        <w:t xml:space="preserve">the grey </w:t>
      </w:r>
      <w:r>
        <w:t xml:space="preserve">“Request Group Access” </w:t>
      </w:r>
      <w:r w:rsidR="009E309E">
        <w:t>box under your list of groups</w:t>
      </w:r>
    </w:p>
    <w:p w14:paraId="19593DE5" w14:textId="08F086CA" w:rsidR="008A1C66" w:rsidRDefault="008A1C66" w:rsidP="008B25EF">
      <w:pPr>
        <w:pStyle w:val="AgilentCommuniqueBody"/>
      </w:pPr>
      <w:r>
        <w:rPr>
          <w:noProof/>
        </w:rPr>
        <w:drawing>
          <wp:inline distT="0" distB="0" distL="0" distR="0" wp14:anchorId="2FF834C6" wp14:editId="600D4BA5">
            <wp:extent cx="2146410" cy="1612983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6410" cy="161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F99F9" w14:textId="77777777" w:rsidR="00933E12" w:rsidRDefault="00933E12" w:rsidP="008B25EF">
      <w:pPr>
        <w:pStyle w:val="AgilentCommuniqueBody"/>
      </w:pPr>
    </w:p>
    <w:p w14:paraId="5E588881" w14:textId="5B47614B" w:rsidR="009E309E" w:rsidRDefault="00FF4EA6" w:rsidP="008B25EF">
      <w:pPr>
        <w:pStyle w:val="AgilentCommuniqueBody"/>
        <w:numPr>
          <w:ilvl w:val="0"/>
          <w:numId w:val="9"/>
        </w:numPr>
      </w:pPr>
      <w:r>
        <w:t>Type ‘</w:t>
      </w:r>
      <w:r w:rsidR="00516A80">
        <w:t>San Francisco</w:t>
      </w:r>
      <w:r>
        <w:t xml:space="preserve">’ in the ‘Institution’ </w:t>
      </w:r>
      <w:r w:rsidR="00E52D18">
        <w:t>box then choose ‘</w:t>
      </w:r>
      <w:r w:rsidR="00516A80">
        <w:t xml:space="preserve">University of California San Francisco’ </w:t>
      </w:r>
      <w:r w:rsidR="00DA1834">
        <w:t>from the list of institutions</w:t>
      </w:r>
    </w:p>
    <w:p w14:paraId="5C6C549C" w14:textId="300EC582" w:rsidR="00DA1834" w:rsidRDefault="00022526" w:rsidP="008B25EF">
      <w:pPr>
        <w:pStyle w:val="AgilentCommuniqueBody"/>
        <w:numPr>
          <w:ilvl w:val="0"/>
          <w:numId w:val="9"/>
        </w:numPr>
      </w:pPr>
      <w:r>
        <w:t>Within the ‘Group’ box type your PI’s last name for the list of PIs to populate</w:t>
      </w:r>
    </w:p>
    <w:p w14:paraId="41BBCCE4" w14:textId="1AE2C2FA" w:rsidR="00022526" w:rsidRDefault="00022526" w:rsidP="008B25EF">
      <w:pPr>
        <w:pStyle w:val="AgilentCommuniqueBody"/>
        <w:numPr>
          <w:ilvl w:val="0"/>
          <w:numId w:val="9"/>
        </w:numPr>
      </w:pPr>
      <w:r>
        <w:t>Select your PI</w:t>
      </w:r>
    </w:p>
    <w:p w14:paraId="085EC3FF" w14:textId="6A72ADD6" w:rsidR="00022526" w:rsidRDefault="00022526" w:rsidP="008B25EF">
      <w:pPr>
        <w:pStyle w:val="AgilentCommuniqueBody"/>
        <w:numPr>
          <w:ilvl w:val="0"/>
          <w:numId w:val="9"/>
        </w:numPr>
      </w:pPr>
      <w:r>
        <w:t xml:space="preserve">Click ‘Request Access’ </w:t>
      </w:r>
    </w:p>
    <w:p w14:paraId="4C83D66A" w14:textId="474C5BAA" w:rsidR="00933E12" w:rsidRDefault="00933E12" w:rsidP="008B25EF">
      <w:pPr>
        <w:pStyle w:val="AgilentCommuniqueBody"/>
      </w:pPr>
      <w:r>
        <w:rPr>
          <w:noProof/>
        </w:rPr>
        <w:lastRenderedPageBreak/>
        <w:drawing>
          <wp:inline distT="0" distB="0" distL="0" distR="0" wp14:anchorId="4DFF3FA2" wp14:editId="1FD847EF">
            <wp:extent cx="5579745" cy="1571625"/>
            <wp:effectExtent l="0" t="0" r="190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5594E" w14:textId="77777777" w:rsidR="00933E12" w:rsidRDefault="00933E12" w:rsidP="008B25EF">
      <w:pPr>
        <w:pStyle w:val="AgilentCommuniqueBody"/>
      </w:pPr>
    </w:p>
    <w:p w14:paraId="5AD7554B" w14:textId="42395585" w:rsidR="00022526" w:rsidRDefault="00022526" w:rsidP="008B25EF">
      <w:pPr>
        <w:pStyle w:val="AgilentCommuniqueBody"/>
        <w:numPr>
          <w:ilvl w:val="0"/>
          <w:numId w:val="9"/>
        </w:numPr>
      </w:pPr>
      <w:r>
        <w:t xml:space="preserve">Your PI, lab manager, or an institution admin at UCSF will have to accept your request </w:t>
      </w:r>
    </w:p>
    <w:p w14:paraId="2C92965A" w14:textId="0E9EC122" w:rsidR="00022526" w:rsidRDefault="00022526" w:rsidP="008B25EF">
      <w:pPr>
        <w:pStyle w:val="AgilentCommuniqueBody"/>
      </w:pPr>
    </w:p>
    <w:p w14:paraId="7DE770DB" w14:textId="32E182E3" w:rsidR="009110F8" w:rsidRDefault="009110F8" w:rsidP="008B25EF">
      <w:pPr>
        <w:pStyle w:val="AgilentCommuniqueBody"/>
      </w:pPr>
      <w:bookmarkStart w:id="1" w:name="_GoBack"/>
      <w:bookmarkEnd w:id="1"/>
    </w:p>
    <w:p w14:paraId="106705BA" w14:textId="5B535A14" w:rsidR="009110F8" w:rsidRDefault="009110F8" w:rsidP="008B25EF">
      <w:pPr>
        <w:pStyle w:val="AgilentCommuniqueBody"/>
      </w:pPr>
    </w:p>
    <w:p w14:paraId="27B3A33C" w14:textId="3189F2D7" w:rsidR="009110F8" w:rsidRDefault="009110F8" w:rsidP="008B25EF">
      <w:pPr>
        <w:pStyle w:val="AgilentCommuniqueBody"/>
      </w:pPr>
    </w:p>
    <w:p w14:paraId="1435E4DF" w14:textId="7299EC6A" w:rsidR="009110F8" w:rsidRDefault="009110F8" w:rsidP="008B25EF">
      <w:pPr>
        <w:pStyle w:val="AgilentCommuniqueBody"/>
      </w:pPr>
    </w:p>
    <w:p w14:paraId="160FA18F" w14:textId="77777777" w:rsidR="009110F8" w:rsidRDefault="009110F8" w:rsidP="008B25EF">
      <w:pPr>
        <w:pStyle w:val="AgilentCommuniqueBody"/>
      </w:pPr>
    </w:p>
    <w:p w14:paraId="3339FA19" w14:textId="523C580A" w:rsidR="00C34EB1" w:rsidRDefault="00C34EB1" w:rsidP="008B25EF">
      <w:pPr>
        <w:pStyle w:val="AgilentCommuniqueBody"/>
      </w:pPr>
    </w:p>
    <w:p w14:paraId="5820D668" w14:textId="77777777" w:rsidR="00022526" w:rsidRPr="00022526" w:rsidRDefault="00022526" w:rsidP="008B25EF">
      <w:pPr>
        <w:pStyle w:val="AgilentCommuniqueBody"/>
      </w:pPr>
    </w:p>
    <w:sectPr w:rsidR="00022526" w:rsidRPr="00022526" w:rsidSect="007B1EA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20" w:right="1134" w:bottom="1985" w:left="1985" w:header="1134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9E062" w14:textId="77777777" w:rsidR="007071E8" w:rsidRDefault="007071E8" w:rsidP="00244867">
      <w:pPr>
        <w:spacing w:line="240" w:lineRule="auto"/>
      </w:pPr>
      <w:r>
        <w:separator/>
      </w:r>
    </w:p>
  </w:endnote>
  <w:endnote w:type="continuationSeparator" w:id="0">
    <w:p w14:paraId="42179DB4" w14:textId="77777777" w:rsidR="007071E8" w:rsidRDefault="007071E8" w:rsidP="00244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  <w:embedRegular r:id="rId1" w:fontKey="{6884FBD7-0F18-41EA-A2E6-966979010B76}"/>
    <w:embedBold r:id="rId2" w:fontKey="{FB1C7045-2E41-4F14-874C-DB93B02A145E}"/>
    <w:embedItalic r:id="rId3" w:fontKey="{05BE865C-0734-4392-9E4B-67A06A6F2133}"/>
  </w:font>
  <w:font w:name="Roboto Light">
    <w:charset w:val="00"/>
    <w:family w:val="auto"/>
    <w:pitch w:val="variable"/>
    <w:sig w:usb0="E00002FF" w:usb1="5000205B" w:usb2="00000020" w:usb3="00000000" w:csb0="0000019F" w:csb1="00000000"/>
    <w:embedRegular r:id="rId4" w:fontKey="{A343CC0D-0145-4357-85C6-0E0FE2D61AB5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5" w:fontKey="{411678CF-8A03-48B0-ABC4-366A5B310F60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39E30" w14:textId="77777777" w:rsidR="00244867" w:rsidRDefault="00244867" w:rsidP="003155B9">
    <w:pPr>
      <w:pStyle w:val="AgilentFooterText"/>
    </w:pPr>
    <w:r w:rsidRPr="00141D7E">
      <w:t xml:space="preserve">Delete this footer text or replace it only with legally-required country information. No other marks or text should be placed on stationery. Required information and marks, applicable to most European and some Asia countries, can be found in the </w:t>
    </w:r>
    <w:hyperlink r:id="rId1" w:history="1">
      <w:r w:rsidRPr="00141D7E">
        <w:rPr>
          <w:rStyle w:val="Hyperlink"/>
        </w:rPr>
        <w:t>Agilent Required Footer Information Matrix</w:t>
      </w:r>
    </w:hyperlink>
    <w:r w:rsidRPr="00141D7E"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8F89F" w14:textId="77777777" w:rsidR="00244867" w:rsidRPr="00280983" w:rsidRDefault="00280983" w:rsidP="00280983">
    <w:pPr>
      <w:pStyle w:val="AgilentFooterText"/>
    </w:pPr>
    <w:r>
      <w:t>Delete this footer text or replace it only with legally-required country information as directed by your local legal counsel. No other marks or text should be placed on stationery. Legally-required country information is mostly applicable only to European and Asian countries.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35B2B" w14:textId="77777777" w:rsidR="007071E8" w:rsidRDefault="007071E8" w:rsidP="00244867">
      <w:pPr>
        <w:spacing w:line="240" w:lineRule="auto"/>
      </w:pPr>
      <w:bookmarkStart w:id="0" w:name="_Hlk482641483"/>
      <w:bookmarkEnd w:id="0"/>
      <w:r>
        <w:separator/>
      </w:r>
    </w:p>
  </w:footnote>
  <w:footnote w:type="continuationSeparator" w:id="0">
    <w:p w14:paraId="4D9739AB" w14:textId="77777777" w:rsidR="007071E8" w:rsidRDefault="007071E8" w:rsidP="00244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E821" w14:textId="77777777" w:rsidR="00244867" w:rsidRDefault="00244867" w:rsidP="00313C1F">
    <w:pPr>
      <w:pStyle w:val="AgilentAddressDetail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C6CF4FD" wp14:editId="5AFF716A">
          <wp:simplePos x="0" y="0"/>
          <wp:positionH relativeFrom="column">
            <wp:posOffset>-484505</wp:posOffset>
          </wp:positionH>
          <wp:positionV relativeFrom="page">
            <wp:posOffset>612775</wp:posOffset>
          </wp:positionV>
          <wp:extent cx="1069848" cy="429768"/>
          <wp:effectExtent l="0" t="0" r="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ilent_Lett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74D95" w14:textId="77777777" w:rsidR="00244867" w:rsidRDefault="00244867" w:rsidP="00313C1F">
    <w:pPr>
      <w:pStyle w:val="AgilentAddressDetail"/>
    </w:pPr>
    <w:r>
      <w:rPr>
        <w:noProof/>
      </w:rPr>
      <w:drawing>
        <wp:anchor distT="0" distB="0" distL="114300" distR="114300" simplePos="0" relativeHeight="251660288" behindDoc="0" locked="1" layoutInCell="1" allowOverlap="1" wp14:anchorId="14AED1BE" wp14:editId="11B11E86">
          <wp:simplePos x="0" y="0"/>
          <wp:positionH relativeFrom="column">
            <wp:posOffset>-488022</wp:posOffset>
          </wp:positionH>
          <wp:positionV relativeFrom="page">
            <wp:posOffset>612949</wp:posOffset>
          </wp:positionV>
          <wp:extent cx="1069848" cy="429768"/>
          <wp:effectExtent l="0" t="0" r="0" b="889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ilent_Lett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22E"/>
    <w:multiLevelType w:val="hybridMultilevel"/>
    <w:tmpl w:val="9D06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62ADC"/>
    <w:multiLevelType w:val="hybridMultilevel"/>
    <w:tmpl w:val="9D06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867EC"/>
    <w:multiLevelType w:val="hybridMultilevel"/>
    <w:tmpl w:val="069E1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70D9C"/>
    <w:multiLevelType w:val="hybridMultilevel"/>
    <w:tmpl w:val="44EC6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53A07"/>
    <w:multiLevelType w:val="hybridMultilevel"/>
    <w:tmpl w:val="9D06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A2104"/>
    <w:multiLevelType w:val="hybridMultilevel"/>
    <w:tmpl w:val="44EC6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A164B"/>
    <w:multiLevelType w:val="hybridMultilevel"/>
    <w:tmpl w:val="25A6BCCC"/>
    <w:lvl w:ilvl="0" w:tplc="572C881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11C2B"/>
    <w:multiLevelType w:val="hybridMultilevel"/>
    <w:tmpl w:val="075481D2"/>
    <w:lvl w:ilvl="0" w:tplc="DD4072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2349E"/>
    <w:multiLevelType w:val="multilevel"/>
    <w:tmpl w:val="053293AA"/>
    <w:styleLink w:val="AgilentNumberedList"/>
    <w:lvl w:ilvl="0">
      <w:start w:val="1"/>
      <w:numFmt w:val="decimal"/>
      <w:pStyle w:val="AgilentBodyNumberedList"/>
      <w:lvlText w:val="%1."/>
      <w:lvlJc w:val="left"/>
      <w:pPr>
        <w:ind w:left="648" w:hanging="21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8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8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8" w:hanging="21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648" w:hanging="216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648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" w:hanging="216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48" w:hanging="216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" w:hanging="216"/>
      </w:pPr>
      <w:rPr>
        <w:rFonts w:hint="default"/>
      </w:rPr>
    </w:lvl>
  </w:abstractNum>
  <w:abstractNum w:abstractNumId="9" w15:restartNumberingAfterBreak="0">
    <w:nsid w:val="665F23D1"/>
    <w:multiLevelType w:val="hybridMultilevel"/>
    <w:tmpl w:val="77567D24"/>
    <w:lvl w:ilvl="0" w:tplc="3F7A884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E5CAB"/>
    <w:multiLevelType w:val="hybridMultilevel"/>
    <w:tmpl w:val="9968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A36AC"/>
    <w:multiLevelType w:val="hybridMultilevel"/>
    <w:tmpl w:val="9D06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TrueType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B4"/>
    <w:rsid w:val="00022526"/>
    <w:rsid w:val="00043FB0"/>
    <w:rsid w:val="000506BB"/>
    <w:rsid w:val="000D7459"/>
    <w:rsid w:val="000F48E0"/>
    <w:rsid w:val="00111CE8"/>
    <w:rsid w:val="00124E50"/>
    <w:rsid w:val="001306E5"/>
    <w:rsid w:val="00184880"/>
    <w:rsid w:val="00200A22"/>
    <w:rsid w:val="00231444"/>
    <w:rsid w:val="002411B4"/>
    <w:rsid w:val="00244867"/>
    <w:rsid w:val="00251468"/>
    <w:rsid w:val="00252876"/>
    <w:rsid w:val="00280983"/>
    <w:rsid w:val="00294694"/>
    <w:rsid w:val="00295EE2"/>
    <w:rsid w:val="00297393"/>
    <w:rsid w:val="002977F5"/>
    <w:rsid w:val="002A3935"/>
    <w:rsid w:val="00313C1F"/>
    <w:rsid w:val="003155B9"/>
    <w:rsid w:val="00365338"/>
    <w:rsid w:val="00380B53"/>
    <w:rsid w:val="003822E3"/>
    <w:rsid w:val="0038243C"/>
    <w:rsid w:val="0039133D"/>
    <w:rsid w:val="00391558"/>
    <w:rsid w:val="003A6879"/>
    <w:rsid w:val="003A6FB9"/>
    <w:rsid w:val="003B0E42"/>
    <w:rsid w:val="003F0170"/>
    <w:rsid w:val="004354FF"/>
    <w:rsid w:val="00472A58"/>
    <w:rsid w:val="00481AB6"/>
    <w:rsid w:val="004D59A1"/>
    <w:rsid w:val="00516A80"/>
    <w:rsid w:val="0051733D"/>
    <w:rsid w:val="005230DF"/>
    <w:rsid w:val="00571357"/>
    <w:rsid w:val="00571E0A"/>
    <w:rsid w:val="0058644E"/>
    <w:rsid w:val="005929B1"/>
    <w:rsid w:val="0059699E"/>
    <w:rsid w:val="005A5199"/>
    <w:rsid w:val="005B2E50"/>
    <w:rsid w:val="005C24F6"/>
    <w:rsid w:val="005C75CA"/>
    <w:rsid w:val="00607336"/>
    <w:rsid w:val="0061188B"/>
    <w:rsid w:val="006331B4"/>
    <w:rsid w:val="00665872"/>
    <w:rsid w:val="00683A4B"/>
    <w:rsid w:val="0068466A"/>
    <w:rsid w:val="0068723C"/>
    <w:rsid w:val="006A3FE3"/>
    <w:rsid w:val="006E2F80"/>
    <w:rsid w:val="007071E8"/>
    <w:rsid w:val="00721358"/>
    <w:rsid w:val="00742BF2"/>
    <w:rsid w:val="00764B30"/>
    <w:rsid w:val="0079219B"/>
    <w:rsid w:val="007B1EA7"/>
    <w:rsid w:val="007D611E"/>
    <w:rsid w:val="00817374"/>
    <w:rsid w:val="0082646B"/>
    <w:rsid w:val="008745BB"/>
    <w:rsid w:val="00890429"/>
    <w:rsid w:val="00894B46"/>
    <w:rsid w:val="008A1C66"/>
    <w:rsid w:val="008B25EF"/>
    <w:rsid w:val="008C34CA"/>
    <w:rsid w:val="008E509F"/>
    <w:rsid w:val="008E6699"/>
    <w:rsid w:val="008F17CA"/>
    <w:rsid w:val="009110F8"/>
    <w:rsid w:val="00930209"/>
    <w:rsid w:val="00933E12"/>
    <w:rsid w:val="00944A8B"/>
    <w:rsid w:val="009457C6"/>
    <w:rsid w:val="009A7CCF"/>
    <w:rsid w:val="009B6E5E"/>
    <w:rsid w:val="009C38DD"/>
    <w:rsid w:val="009D35AC"/>
    <w:rsid w:val="009D3CF0"/>
    <w:rsid w:val="009E29B6"/>
    <w:rsid w:val="009E309E"/>
    <w:rsid w:val="009E391B"/>
    <w:rsid w:val="00A0314A"/>
    <w:rsid w:val="00A0476D"/>
    <w:rsid w:val="00A15C12"/>
    <w:rsid w:val="00A24176"/>
    <w:rsid w:val="00A40863"/>
    <w:rsid w:val="00A44EF6"/>
    <w:rsid w:val="00A84271"/>
    <w:rsid w:val="00AD1028"/>
    <w:rsid w:val="00AD675D"/>
    <w:rsid w:val="00AE33C7"/>
    <w:rsid w:val="00B30A4B"/>
    <w:rsid w:val="00B35F3A"/>
    <w:rsid w:val="00B413DC"/>
    <w:rsid w:val="00B418AC"/>
    <w:rsid w:val="00B55692"/>
    <w:rsid w:val="00B6358F"/>
    <w:rsid w:val="00B70A7C"/>
    <w:rsid w:val="00BC234C"/>
    <w:rsid w:val="00BE54CF"/>
    <w:rsid w:val="00BF4023"/>
    <w:rsid w:val="00C06CF4"/>
    <w:rsid w:val="00C06FB3"/>
    <w:rsid w:val="00C34EB1"/>
    <w:rsid w:val="00C561FF"/>
    <w:rsid w:val="00CC7082"/>
    <w:rsid w:val="00D17A60"/>
    <w:rsid w:val="00D301E0"/>
    <w:rsid w:val="00D563AE"/>
    <w:rsid w:val="00D6342E"/>
    <w:rsid w:val="00D70C10"/>
    <w:rsid w:val="00D9136D"/>
    <w:rsid w:val="00DA06A7"/>
    <w:rsid w:val="00DA1834"/>
    <w:rsid w:val="00DB2C11"/>
    <w:rsid w:val="00DE4510"/>
    <w:rsid w:val="00DF0205"/>
    <w:rsid w:val="00DF074D"/>
    <w:rsid w:val="00DF2093"/>
    <w:rsid w:val="00E25895"/>
    <w:rsid w:val="00E52D18"/>
    <w:rsid w:val="00E71D80"/>
    <w:rsid w:val="00E83E0E"/>
    <w:rsid w:val="00E859FB"/>
    <w:rsid w:val="00EB3EBF"/>
    <w:rsid w:val="00EB604D"/>
    <w:rsid w:val="00EE716C"/>
    <w:rsid w:val="00EF2399"/>
    <w:rsid w:val="00EF3091"/>
    <w:rsid w:val="00EF45C8"/>
    <w:rsid w:val="00EF69CE"/>
    <w:rsid w:val="00F01B58"/>
    <w:rsid w:val="00F43677"/>
    <w:rsid w:val="00F45685"/>
    <w:rsid w:val="00FB394A"/>
    <w:rsid w:val="00FF1447"/>
    <w:rsid w:val="00FF4E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2C90C"/>
  <w15:chartTrackingRefBased/>
  <w15:docId w15:val="{1987BA05-2BC5-4613-AE95-4B9F99C4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7"/>
        <w:szCs w:val="17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22526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A39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639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9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39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5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26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E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39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5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39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66A"/>
    <w:rPr>
      <w:color w:val="0085D5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486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8E66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699"/>
  </w:style>
  <w:style w:type="paragraph" w:styleId="Footer">
    <w:name w:val="footer"/>
    <w:basedOn w:val="Normal"/>
    <w:link w:val="FooterChar"/>
    <w:uiPriority w:val="99"/>
    <w:semiHidden/>
    <w:rsid w:val="008E66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699"/>
  </w:style>
  <w:style w:type="table" w:styleId="TableGrid">
    <w:name w:val="Table Grid"/>
    <w:basedOn w:val="TableNormal"/>
    <w:uiPriority w:val="59"/>
    <w:rsid w:val="002448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ilentCommuniqueBody">
    <w:name w:val="Agilent Communique Body"/>
    <w:autoRedefine/>
    <w:qFormat/>
    <w:rsid w:val="008B25EF"/>
    <w:pPr>
      <w:spacing w:line="240" w:lineRule="auto"/>
    </w:pPr>
    <w:rPr>
      <w:rFonts w:ascii="Roboto Light" w:hAnsi="Roboto Light"/>
      <w:sz w:val="20"/>
    </w:rPr>
  </w:style>
  <w:style w:type="paragraph" w:customStyle="1" w:styleId="AgilentAddressDetail">
    <w:name w:val="Agilent Address Detail"/>
    <w:qFormat/>
    <w:rsid w:val="0038243C"/>
    <w:pPr>
      <w:spacing w:line="190" w:lineRule="exact"/>
    </w:pPr>
    <w:rPr>
      <w:rFonts w:ascii="Roboto Light" w:hAnsi="Roboto Light"/>
      <w:sz w:val="14"/>
    </w:rPr>
  </w:style>
  <w:style w:type="paragraph" w:customStyle="1" w:styleId="AgilentFooterText">
    <w:name w:val="Agilent Footer Text"/>
    <w:qFormat/>
    <w:rsid w:val="0038243C"/>
    <w:pPr>
      <w:spacing w:line="140" w:lineRule="exact"/>
    </w:pPr>
    <w:rPr>
      <w:rFonts w:ascii="Roboto Light" w:hAnsi="Roboto Light"/>
      <w:sz w:val="12"/>
    </w:rPr>
  </w:style>
  <w:style w:type="character" w:styleId="FollowedHyperlink">
    <w:name w:val="FollowedHyperlink"/>
    <w:basedOn w:val="DefaultParagraphFont"/>
    <w:uiPriority w:val="99"/>
    <w:semiHidden/>
    <w:unhideWhenUsed/>
    <w:rsid w:val="0068466A"/>
    <w:rPr>
      <w:color w:val="80276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CF"/>
    <w:rPr>
      <w:rFonts w:ascii="Segoe UI" w:hAnsi="Segoe UI" w:cs="Segoe UI"/>
      <w:sz w:val="18"/>
      <w:szCs w:val="18"/>
    </w:rPr>
  </w:style>
  <w:style w:type="paragraph" w:customStyle="1" w:styleId="AgilentBodyText">
    <w:name w:val="Agilent Body Text"/>
    <w:qFormat/>
    <w:rsid w:val="005230DF"/>
    <w:rPr>
      <w:rFonts w:ascii="Roboto Light" w:hAnsi="Roboto Light"/>
      <w:sz w:val="20"/>
    </w:rPr>
  </w:style>
  <w:style w:type="paragraph" w:customStyle="1" w:styleId="AgilentBodyNumberedList">
    <w:name w:val="Agilent Body Numbered List"/>
    <w:basedOn w:val="AgilentBodyText"/>
    <w:qFormat/>
    <w:rsid w:val="0038243C"/>
    <w:pPr>
      <w:numPr>
        <w:numId w:val="3"/>
      </w:numPr>
    </w:pPr>
  </w:style>
  <w:style w:type="paragraph" w:customStyle="1" w:styleId="AgilentDocTitle">
    <w:name w:val="Agilent Doc Title"/>
    <w:qFormat/>
    <w:rsid w:val="005230DF"/>
    <w:rPr>
      <w:rFonts w:ascii="Roboto Light" w:hAnsi="Roboto Light"/>
      <w:sz w:val="36"/>
    </w:rPr>
  </w:style>
  <w:style w:type="numbering" w:customStyle="1" w:styleId="AgilentNumberedList">
    <w:name w:val="Agilent Numbered List"/>
    <w:uiPriority w:val="99"/>
    <w:rsid w:val="003A6FB9"/>
    <w:pPr>
      <w:numPr>
        <w:numId w:val="1"/>
      </w:numPr>
    </w:pPr>
  </w:style>
  <w:style w:type="paragraph" w:customStyle="1" w:styleId="AgilentSubhead">
    <w:name w:val="Agilent Subhead"/>
    <w:autoRedefine/>
    <w:qFormat/>
    <w:rsid w:val="005230DF"/>
    <w:pPr>
      <w:spacing w:line="240" w:lineRule="auto"/>
    </w:pPr>
    <w:rPr>
      <w:rFonts w:ascii="Roboto" w:hAnsi="Roboto"/>
      <w:sz w:val="24"/>
    </w:rPr>
  </w:style>
  <w:style w:type="paragraph" w:customStyle="1" w:styleId="Header1">
    <w:name w:val="Header 1"/>
    <w:basedOn w:val="Heading2"/>
    <w:rsid w:val="009E29B6"/>
  </w:style>
  <w:style w:type="paragraph" w:customStyle="1" w:styleId="Header2">
    <w:name w:val="Header 2"/>
    <w:basedOn w:val="Heading5"/>
    <w:next w:val="Heading3"/>
    <w:rsid w:val="00022526"/>
  </w:style>
  <w:style w:type="character" w:customStyle="1" w:styleId="Heading2Char">
    <w:name w:val="Heading 2 Char"/>
    <w:basedOn w:val="DefaultParagraphFont"/>
    <w:link w:val="Heading2"/>
    <w:uiPriority w:val="9"/>
    <w:semiHidden/>
    <w:rsid w:val="009E29B6"/>
    <w:rPr>
      <w:rFonts w:asciiTheme="majorHAnsi" w:eastAsiaTheme="majorEastAsia" w:hAnsiTheme="majorHAnsi" w:cstheme="majorBidi"/>
      <w:color w:val="00639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526"/>
    <w:rPr>
      <w:rFonts w:asciiTheme="majorHAnsi" w:eastAsiaTheme="majorEastAsia" w:hAnsiTheme="majorHAnsi" w:cstheme="majorBidi"/>
      <w:color w:val="00426A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526"/>
    <w:rPr>
      <w:rFonts w:asciiTheme="majorHAnsi" w:eastAsiaTheme="majorEastAsia" w:hAnsiTheme="majorHAnsi" w:cstheme="majorBidi"/>
      <w:color w:val="00639F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A3935"/>
    <w:rPr>
      <w:rFonts w:asciiTheme="majorHAnsi" w:eastAsiaTheme="majorEastAsia" w:hAnsiTheme="majorHAnsi" w:cstheme="majorBidi"/>
      <w:color w:val="00639F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A3935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A3935"/>
    <w:pPr>
      <w:spacing w:after="100"/>
      <w:ind w:left="170"/>
    </w:pPr>
  </w:style>
  <w:style w:type="paragraph" w:styleId="TOC1">
    <w:name w:val="toc 1"/>
    <w:basedOn w:val="Normal"/>
    <w:next w:val="Normal"/>
    <w:autoRedefine/>
    <w:uiPriority w:val="39"/>
    <w:unhideWhenUsed/>
    <w:rsid w:val="002A3935"/>
    <w:pPr>
      <w:spacing w:after="100" w:line="259" w:lineRule="auto"/>
    </w:pPr>
    <w:rPr>
      <w:rFonts w:eastAsiaTheme="minorEastAsia" w:cs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A3935"/>
    <w:pPr>
      <w:spacing w:after="100" w:line="259" w:lineRule="auto"/>
      <w:ind w:left="440"/>
    </w:pPr>
    <w:rPr>
      <w:rFonts w:eastAsiaTheme="minorEastAsia" w:cs="Times New Roman"/>
      <w:sz w:val="22"/>
      <w:szCs w:val="22"/>
    </w:rPr>
  </w:style>
  <w:style w:type="paragraph" w:customStyle="1" w:styleId="Header3">
    <w:name w:val="Header 3"/>
    <w:basedOn w:val="Heading4"/>
    <w:rsid w:val="009B6E5E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E5E"/>
    <w:rPr>
      <w:rFonts w:asciiTheme="majorHAnsi" w:eastAsiaTheme="majorEastAsia" w:hAnsiTheme="majorHAnsi" w:cstheme="majorBidi"/>
      <w:i/>
      <w:iCs/>
      <w:color w:val="00639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rketing.agilent.com/brand/office_footer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Agilent 2017">
      <a:dk1>
        <a:srgbClr val="53565A"/>
      </a:dk1>
      <a:lt1>
        <a:srgbClr val="FFFFFF"/>
      </a:lt1>
      <a:dk2>
        <a:srgbClr val="000000"/>
      </a:dk2>
      <a:lt2>
        <a:srgbClr val="FFFFFF"/>
      </a:lt2>
      <a:accent1>
        <a:srgbClr val="0085D5"/>
      </a:accent1>
      <a:accent2>
        <a:srgbClr val="F2A900"/>
      </a:accent2>
      <a:accent3>
        <a:srgbClr val="84BD00"/>
      </a:accent3>
      <a:accent4>
        <a:srgbClr val="00A9E0"/>
      </a:accent4>
      <a:accent5>
        <a:srgbClr val="00426A"/>
      </a:accent5>
      <a:accent6>
        <a:srgbClr val="D6001C"/>
      </a:accent6>
      <a:hlink>
        <a:srgbClr val="0085D5"/>
      </a:hlink>
      <a:folHlink>
        <a:srgbClr val="80276C"/>
      </a:folHlink>
    </a:clrScheme>
    <a:fontScheme name="Agilent 2017 - Roboto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C7415299D584A863D451738C3FF6F" ma:contentTypeVersion="13" ma:contentTypeDescription="Create a new document." ma:contentTypeScope="" ma:versionID="aff852545c56fccb9c3351dcbd86e69c">
  <xsd:schema xmlns:xsd="http://www.w3.org/2001/XMLSchema" xmlns:xs="http://www.w3.org/2001/XMLSchema" xmlns:p="http://schemas.microsoft.com/office/2006/metadata/properties" xmlns:ns3="0906adfa-b1d1-4723-b160-656a06e29bd7" xmlns:ns4="c6aeaad9-6c7f-4f58-b869-3b6b0f86c34a" targetNamespace="http://schemas.microsoft.com/office/2006/metadata/properties" ma:root="true" ma:fieldsID="91563bae19966d4a539ea03d70ae93d3" ns3:_="" ns4:_="">
    <xsd:import namespace="0906adfa-b1d1-4723-b160-656a06e29bd7"/>
    <xsd:import namespace="c6aeaad9-6c7f-4f58-b869-3b6b0f86c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adfa-b1d1-4723-b160-656a06e29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eaad9-6c7f-4f58-b869-3b6b0f86c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1CBA-75B5-48D2-9657-F22B008DD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6adfa-b1d1-4723-b160-656a06e29bd7"/>
    <ds:schemaRef ds:uri="c6aeaad9-6c7f-4f58-b869-3b6b0f86c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B6A06-AEB0-42D2-B65B-C5D0EC65E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144F24-1F93-4B2B-8B5F-2AEF951FE7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B3B135-DFA1-4DF9-BD8F-662FCAAE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CASEY,AMANDA (Agilent USA)</dc:creator>
  <cp:keywords/>
  <dc:description/>
  <cp:lastModifiedBy>Li, Steve</cp:lastModifiedBy>
  <cp:revision>4</cp:revision>
  <dcterms:created xsi:type="dcterms:W3CDTF">2020-03-09T21:01:00Z</dcterms:created>
  <dcterms:modified xsi:type="dcterms:W3CDTF">2020-08-06T01:13:00Z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0x0101003A4C7415299D584A863D451738C3FF6F</vt:lpwstr>
  </property>
</Properties>
</file>